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55" w:after="0" w:line="240"/>
        <w:ind w:right="172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20"/>
          <w:position w:val="0"/>
          <w:sz w:val="48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u w:val="thick"/>
          <w:shd w:fill="auto" w:val="clear"/>
        </w:rPr>
        <w:t xml:space="preserve">ПЛАН-ПРОГРАМА</w:t>
      </w:r>
    </w:p>
    <w:p>
      <w:pPr>
        <w:spacing w:before="106" w:after="0" w:line="240"/>
        <w:ind w:right="46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ЗА РАЗВИТИЕ НА</w:t>
      </w:r>
      <w:r>
        <w:rPr>
          <w:rFonts w:ascii="Times New Roman" w:hAnsi="Times New Roman" w:cs="Times New Roman" w:eastAsia="Times New Roman"/>
          <w:color w:val="auto"/>
          <w:spacing w:val="65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ДЕЙНОСТТА</w:t>
      </w:r>
    </w:p>
    <w:p>
      <w:pPr>
        <w:spacing w:before="108" w:after="0" w:line="240"/>
        <w:ind w:right="16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В НАРОДНО ЧИТАЛИЩЕ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ПРОСВЕТА-1928г.”</w:t>
      </w:r>
    </w:p>
    <w:p>
      <w:pPr>
        <w:spacing w:before="103" w:after="0" w:line="240"/>
        <w:ind w:right="453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ПРЕЗ  2021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"/>
        </w:numPr>
        <w:tabs>
          <w:tab w:val="left" w:pos="841" w:leader="none"/>
        </w:tabs>
        <w:spacing w:before="251" w:after="0" w:line="240"/>
        <w:ind w:right="0" w:left="84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Въведение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10"/>
        </w:numPr>
        <w:tabs>
          <w:tab w:val="left" w:pos="841" w:leader="none"/>
        </w:tabs>
        <w:spacing w:before="2" w:after="0" w:line="290"/>
        <w:ind w:right="0" w:left="841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Анализ на състоянието на читалището</w:t>
      </w:r>
    </w:p>
    <w:p>
      <w:pPr>
        <w:numPr>
          <w:ilvl w:val="0"/>
          <w:numId w:val="10"/>
        </w:numPr>
        <w:tabs>
          <w:tab w:val="left" w:pos="841" w:leader="none"/>
        </w:tabs>
        <w:spacing w:before="0" w:after="0" w:line="288"/>
        <w:ind w:right="0" w:left="841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Основна цел на</w:t>
      </w:r>
      <w:r>
        <w:rPr>
          <w:rFonts w:ascii="Verdana" w:hAnsi="Verdana" w:cs="Verdana" w:eastAsia="Verdana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програмата</w:t>
      </w:r>
    </w:p>
    <w:p>
      <w:pPr>
        <w:numPr>
          <w:ilvl w:val="0"/>
          <w:numId w:val="10"/>
        </w:numPr>
        <w:tabs>
          <w:tab w:val="left" w:pos="841" w:leader="none"/>
        </w:tabs>
        <w:spacing w:before="0" w:after="0" w:line="249"/>
        <w:ind w:right="2285" w:left="380" w:firstLine="10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Основни дейности по изпълнение на</w:t>
      </w:r>
      <w:r>
        <w:rPr>
          <w:rFonts w:ascii="Verdana" w:hAnsi="Verdana" w:cs="Verdana" w:eastAsia="Verdana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програмата Организационна и стопанска</w:t>
      </w:r>
      <w:r>
        <w:rPr>
          <w:rFonts w:ascii="Verdana" w:hAnsi="Verdana" w:cs="Verdana" w:eastAsia="Verdana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дейност</w:t>
      </w:r>
    </w:p>
    <w:p>
      <w:pPr>
        <w:spacing w:before="0" w:after="0" w:line="265"/>
        <w:ind w:right="0" w:left="140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Любителско творчество и художествено- творческа дейност</w:t>
      </w:r>
    </w:p>
    <w:p>
      <w:pPr>
        <w:spacing w:before="0" w:after="0" w:line="247"/>
        <w:ind w:right="5138" w:left="140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Библиотечна дейност Работа по проекти Друго</w:t>
      </w:r>
    </w:p>
    <w:p>
      <w:pPr>
        <w:numPr>
          <w:ilvl w:val="0"/>
          <w:numId w:val="15"/>
        </w:numPr>
        <w:tabs>
          <w:tab w:val="left" w:pos="841" w:leader="none"/>
        </w:tabs>
        <w:spacing w:before="0" w:after="0" w:line="269"/>
        <w:ind w:right="0" w:left="841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Културен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календар</w:t>
      </w:r>
    </w:p>
    <w:p>
      <w:pPr>
        <w:numPr>
          <w:ilvl w:val="0"/>
          <w:numId w:val="15"/>
        </w:numPr>
        <w:tabs>
          <w:tab w:val="left" w:pos="841" w:leader="none"/>
        </w:tabs>
        <w:spacing w:before="7" w:after="0" w:line="240"/>
        <w:ind w:right="0" w:left="841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Материално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техническа</w:t>
      </w:r>
      <w:r>
        <w:rPr>
          <w:rFonts w:ascii="Verdana" w:hAnsi="Verdana" w:cs="Verdana" w:eastAsia="Verdana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база</w:t>
      </w:r>
    </w:p>
    <w:p>
      <w:pPr>
        <w:numPr>
          <w:ilvl w:val="0"/>
          <w:numId w:val="15"/>
        </w:numPr>
        <w:tabs>
          <w:tab w:val="left" w:pos="841" w:leader="none"/>
        </w:tabs>
        <w:spacing w:before="1" w:after="0" w:line="240"/>
        <w:ind w:right="0" w:left="841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Финансиране</w:t>
      </w:r>
    </w:p>
    <w:p>
      <w:pPr>
        <w:numPr>
          <w:ilvl w:val="0"/>
          <w:numId w:val="15"/>
        </w:numPr>
        <w:tabs>
          <w:tab w:val="left" w:pos="841" w:leader="none"/>
        </w:tabs>
        <w:spacing w:before="1" w:after="0" w:line="240"/>
        <w:ind w:right="0" w:left="841" w:hanging="361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Срок за изпълнение и отчитане на</w:t>
      </w:r>
      <w:r>
        <w:rPr>
          <w:rFonts w:ascii="Verdana" w:hAnsi="Verdana" w:cs="Verdana" w:eastAsia="Verdana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програмата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8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20"/>
        </w:numPr>
        <w:tabs>
          <w:tab w:val="left" w:pos="323" w:leader="none"/>
        </w:tabs>
        <w:spacing w:before="0" w:after="0" w:line="240"/>
        <w:ind w:right="0" w:left="322" w:hanging="2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ВЪВЕДЕНИЕ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726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Програмата за развитие на читалищната дейност през 2021г. е съобразена с изискванията по чл.29а, ал.2 от Закона за народните читалища.Изготвянето на програмата цели обединяване на усилията за развитие и утвърждаване на читалището като важна обществена институция,реализираща културната идентичност.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4"/>
        </w:numPr>
        <w:tabs>
          <w:tab w:val="left" w:pos="323" w:leader="none"/>
        </w:tabs>
        <w:spacing w:before="0" w:after="0" w:line="240"/>
        <w:ind w:right="0" w:left="322" w:hanging="2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АНАЛИЗ НА СЪСТОЯНИЕТО НА</w:t>
      </w:r>
      <w:r>
        <w:rPr>
          <w:rFonts w:ascii="Verdana" w:hAnsi="Verdana" w:cs="Verdana" w:eastAsia="Verdana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ЧИТАЛИЩЕТО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В нашето китно село функционира само едно читалище.</w:t>
      </w:r>
    </w:p>
    <w:p>
      <w:pPr>
        <w:spacing w:before="0" w:after="0" w:line="240"/>
        <w:ind w:right="0" w:left="32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То има голямо значение за съществуващото културно многообразие.</w:t>
      </w:r>
    </w:p>
    <w:p>
      <w:pPr>
        <w:spacing w:before="0" w:after="0" w:line="242"/>
        <w:ind w:right="0" w:left="32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Читалището сътрудничи с общинската администрация.Има наличие на</w:t>
      </w:r>
    </w:p>
    <w:p>
      <w:pPr>
        <w:spacing w:before="23" w:after="0" w:line="240"/>
        <w:ind w:right="0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библиотека,която разполага с 4623 тома литература.Сградата e в окаяно състояние и се нуждае от основен ремонт.</w:t>
      </w:r>
    </w:p>
    <w:p>
      <w:pPr>
        <w:numPr>
          <w:ilvl w:val="0"/>
          <w:numId w:val="30"/>
        </w:numPr>
        <w:tabs>
          <w:tab w:val="left" w:pos="323" w:leader="none"/>
        </w:tabs>
        <w:spacing w:before="2" w:after="0" w:line="240"/>
        <w:ind w:right="0" w:left="322" w:hanging="203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ОСНОВНА ЦЕЛ НА</w:t>
      </w:r>
      <w:r>
        <w:rPr>
          <w:rFonts w:ascii="Verdana" w:hAnsi="Verdana" w:cs="Verdana" w:eastAsia="Verdana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ПРОГРАМАТА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427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Подпомагане на традиционните читалищни дейности и търсене на нови форми за тяхното развитие.</w:t>
      </w:r>
    </w:p>
    <w:p>
      <w:pPr>
        <w:spacing w:before="6" w:after="0" w:line="240"/>
        <w:ind w:right="1025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Развитие на професионалните умения и повишаване на квалификацията на работещите в тази културна институция.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5"/>
        </w:numPr>
        <w:tabs>
          <w:tab w:val="left" w:pos="534" w:leader="none"/>
        </w:tabs>
        <w:spacing w:before="89" w:after="0" w:line="240"/>
        <w:ind w:right="2811" w:left="841" w:hanging="509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ОСНОВНИ ДЕЙНОСТИ ПО ИЗПЪЛНЕНИЕ НА</w:t>
      </w:r>
      <w:r>
        <w:rPr>
          <w:rFonts w:ascii="Verdana" w:hAnsi="Verdana" w:cs="Verdana" w:eastAsia="Verdana"/>
          <w:color w:val="auto"/>
          <w:spacing w:val="-38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ПРОГРАМАТА ОРГАНИЗАЦИОННА И СТОПАНСКА</w:t>
      </w:r>
      <w:r>
        <w:rPr>
          <w:rFonts w:ascii="Verdana" w:hAnsi="Verdana" w:cs="Verdana" w:eastAsia="Verdana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ДЕЙНОСТ:</w:t>
      </w:r>
    </w:p>
    <w:p>
      <w:pPr>
        <w:spacing w:before="8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2"/>
        <w:ind w:right="0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Повишаване на културата за работа с читатели и потребители;</w:t>
      </w:r>
    </w:p>
    <w:p>
      <w:pPr>
        <w:spacing w:before="0" w:after="0" w:line="242"/>
        <w:ind w:right="0" w:left="1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Обновяване на библиотечния фонд;</w:t>
      </w:r>
    </w:p>
    <w:p>
      <w:pPr>
        <w:spacing w:before="7" w:after="0" w:line="489"/>
        <w:ind w:right="686" w:left="586" w:hanging="467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Ремонт на покривната конструкция и таваните в помещенията; ЛЮБИТЕЛСКО ТВОРЧЕСТВО И ХУДОЖЕСТВЕНО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ТВОРЧЕСКА ДЕЙНОСТ:</w:t>
      </w:r>
    </w:p>
    <w:p>
      <w:pPr>
        <w:spacing w:before="0" w:after="0" w:line="240"/>
        <w:ind w:right="635" w:left="120" w:firstLine="41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Развитието на дейността на читалището зависи не само от потребностите на местното население.Броя на членовете на читалището е 50.</w:t>
      </w:r>
    </w:p>
    <w:p>
      <w:pPr>
        <w:spacing w:before="3" w:after="0" w:line="240"/>
        <w:ind w:right="103" w:left="120" w:firstLine="41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Важна част от дейността на читалището е грижата за развитие и разширяване на любителското художествено творчество.</w:t>
      </w:r>
    </w:p>
    <w:p>
      <w:pPr>
        <w:spacing w:before="1" w:after="0" w:line="242"/>
        <w:ind w:right="439" w:left="120" w:firstLine="418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Художествено-творческата дейност в читалището цели да запази и развива традиционните ценности на българския народ,да съхрани обичаите и традициите.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</w:p>
    <w:p>
      <w:pPr>
        <w:spacing w:before="102" w:after="0" w:line="240"/>
        <w:ind w:right="0" w:left="65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БИБЛИОТЕЧНА ДЕЙНОСТ:</w:t>
      </w:r>
    </w:p>
    <w:p>
      <w:pPr>
        <w:spacing w:before="1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210" w:left="120" w:firstLine="562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Библиотечната дейност е една от важните дейности на читалищата.Тя ще бъде насочена към:</w:t>
      </w:r>
    </w:p>
    <w:p>
      <w:pPr>
        <w:spacing w:before="0" w:after="0" w:line="240"/>
        <w:ind w:right="0" w:left="677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Подновяване на библиотечния фонд;</w:t>
      </w:r>
    </w:p>
    <w:p>
      <w:pPr>
        <w:spacing w:before="16" w:after="0" w:line="240"/>
        <w:ind w:right="94" w:left="120" w:firstLine="557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Превръщане на библиотеката в обществен информационен център в процесите на информационно осигуряване на гражданите;</w:t>
      </w:r>
    </w:p>
    <w:p>
      <w:pPr>
        <w:spacing w:before="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8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РАБОТА ПО ПРОЕКТИ:</w:t>
      </w:r>
    </w:p>
    <w:p>
      <w:pPr>
        <w:spacing w:before="11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538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Кандидатстване по проекти в сътрудничество с Общината и други НПО.</w:t>
      </w:r>
    </w:p>
    <w:p>
      <w:pPr>
        <w:spacing w:before="3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6"/>
        </w:numPr>
        <w:tabs>
          <w:tab w:val="left" w:pos="390" w:leader="none"/>
        </w:tabs>
        <w:spacing w:before="1" w:after="0" w:line="240"/>
        <w:ind w:right="0" w:left="389" w:hanging="270"/>
        <w:jc w:val="left"/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КУЛТУРЕН</w:t>
      </w:r>
      <w:r>
        <w:rPr>
          <w:rFonts w:ascii="Verdana" w:hAnsi="Verdana" w:cs="Verdana" w:eastAsia="Verdana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auto" w:val="clear"/>
        </w:rPr>
        <w:t xml:space="preserve">КАЛЕНДАР:</w:t>
      </w:r>
    </w:p>
    <w:p>
      <w:pPr>
        <w:tabs>
          <w:tab w:val="left" w:pos="0" w:leader="none"/>
        </w:tabs>
        <w:spacing w:before="1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ТРИФОН  ЗАРЕЗАН  -                              01.02.2021г.</w:t>
      </w: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ДЕН НА ОСВОБОЖДЕНИЕТО -            03.03.2021г</w:t>
      </w: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ВЕЛИКДЕН-                                              02.05.2021г.</w:t>
      </w: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ГЕРГЬОВДЕН-                                           06.05.2021г. </w:t>
      </w: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ФЕСТИВАЛ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ТИМОШКИ РИТМИ ”           05.2021г.</w:t>
      </w: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КОЛЕДУВАНЕ                                           25.12. 2021г.</w:t>
      </w:r>
    </w:p>
    <w:p>
      <w:pPr>
        <w:tabs>
          <w:tab w:val="left" w:pos="390" w:leader="none"/>
        </w:tabs>
        <w:spacing w:before="1" w:after="0" w:line="240"/>
        <w:ind w:right="0" w:left="38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2"/>
          <w:shd w:fill="auto" w:val="clear"/>
        </w:rPr>
      </w:pPr>
    </w:p>
    <w:p>
      <w:pPr>
        <w:tabs>
          <w:tab w:val="left" w:pos="0" w:leader="none"/>
        </w:tabs>
        <w:spacing w:before="231" w:after="0" w:line="240"/>
        <w:ind w:right="151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426" w:leader="none"/>
          <w:tab w:val="left" w:pos="4840" w:leader="none"/>
        </w:tabs>
        <w:spacing w:before="9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5"/>
          <w:position w:val="1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C0C0C0"/>
          <w:spacing w:val="4"/>
          <w:position w:val="2"/>
          <w:sz w:val="16"/>
          <w:shd w:fill="auto" w:val="clear"/>
        </w:rPr>
        <w:t xml:space="preserve">                </w:t>
      </w:r>
    </w:p>
    <w:p>
      <w:pPr>
        <w:tabs>
          <w:tab w:val="left" w:pos="426" w:leader="none"/>
          <w:tab w:val="left" w:pos="4840" w:leader="none"/>
        </w:tabs>
        <w:spacing w:before="9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5"/>
          <w:position w:val="1"/>
          <w:sz w:val="16"/>
          <w:shd w:fill="auto" w:val="clear"/>
        </w:rPr>
      </w:pPr>
    </w:p>
    <w:p>
      <w:pPr>
        <w:tabs>
          <w:tab w:val="left" w:pos="426" w:leader="none"/>
          <w:tab w:val="left" w:pos="4840" w:leader="none"/>
        </w:tabs>
        <w:spacing w:before="9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5"/>
          <w:position w:val="1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1"/>
          <w:sz w:val="16"/>
          <w:shd w:fill="auto" w:val="clear"/>
        </w:rPr>
        <w:t xml:space="preserve">                 </w:t>
      </w:r>
    </w:p>
    <w:p>
      <w:pPr>
        <w:tabs>
          <w:tab w:val="left" w:pos="426" w:leader="none"/>
          <w:tab w:val="left" w:pos="4840" w:leader="none"/>
        </w:tabs>
        <w:spacing w:before="9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5"/>
          <w:position w:val="1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1"/>
          <w:sz w:val="16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МАТЕРИАЛНО-ТЕХНИЧЕСКА  БАЗА:</w:t>
      </w:r>
    </w:p>
    <w:p>
      <w:pPr>
        <w:spacing w:before="221" w:after="0" w:line="453"/>
        <w:ind w:right="0" w:left="284" w:firstLine="0"/>
        <w:jc w:val="left"/>
        <w:rPr>
          <w:rFonts w:ascii="Verdana" w:hAnsi="Verdana" w:cs="Verdana" w:eastAsia="Verdana"/>
          <w:b/>
          <w:color w:val="auto"/>
          <w:spacing w:val="0"/>
          <w:position w:val="3"/>
          <w:sz w:val="20"/>
          <w:shd w:fill="auto" w:val="clear"/>
        </w:rPr>
      </w:pPr>
      <w:r>
        <w:rPr>
          <w:rFonts w:ascii="Verdana" w:hAnsi="Verdana" w:cs="Verdana" w:eastAsia="Verdana"/>
          <w:color w:val="C0C0C0"/>
          <w:spacing w:val="-20"/>
          <w:position w:val="2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C0C0C0"/>
          <w:spacing w:val="-20"/>
          <w:position w:val="2"/>
          <w:sz w:val="24"/>
          <w:shd w:fill="auto" w:val="clear"/>
        </w:rPr>
        <w:t xml:space="preserve">Сградата  </w:t>
      </w:r>
      <w:r>
        <w:rPr>
          <w:rFonts w:ascii="Times New Roman" w:hAnsi="Times New Roman" w:cs="Times New Roman" w:eastAsia="Times New Roman"/>
          <w:b/>
          <w:color w:val="C0C0C0"/>
          <w:spacing w:val="0"/>
          <w:position w:val="2"/>
          <w:sz w:val="24"/>
          <w:shd w:fill="auto" w:val="clear"/>
        </w:rPr>
        <w:t xml:space="preserve">на читалището е Общинска </w:t>
      </w:r>
      <w:r>
        <w:rPr>
          <w:rFonts w:ascii="Times New Roman" w:hAnsi="Times New Roman" w:cs="Times New Roman" w:eastAsia="Times New Roman"/>
          <w:b/>
          <w:color w:val="C0C0C0"/>
          <w:spacing w:val="-3"/>
          <w:position w:val="2"/>
          <w:sz w:val="24"/>
          <w:shd w:fill="auto" w:val="clear"/>
        </w:rPr>
        <w:t xml:space="preserve">собственост </w:t>
      </w:r>
      <w:r>
        <w:rPr>
          <w:rFonts w:ascii="Times New Roman" w:hAnsi="Times New Roman" w:cs="Times New Roman" w:eastAsia="Times New Roman"/>
          <w:b/>
          <w:color w:val="C0C0C0"/>
          <w:spacing w:val="0"/>
          <w:position w:val="2"/>
          <w:sz w:val="24"/>
          <w:shd w:fill="auto" w:val="clear"/>
        </w:rPr>
        <w:t xml:space="preserve">и е в недобро състояние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3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C0C0C0"/>
          <w:spacing w:val="0"/>
          <w:position w:val="2"/>
          <w:sz w:val="24"/>
          <w:shd w:fill="auto" w:val="clear"/>
        </w:rPr>
        <w:t xml:space="preserve">Общата площ 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1"/>
          <w:sz w:val="24"/>
          <w:shd w:fill="auto" w:val="clear"/>
        </w:rPr>
        <w:t xml:space="preserve">400 </w:t>
      </w:r>
      <w:r>
        <w:rPr>
          <w:rFonts w:ascii="Times New Roman" w:hAnsi="Times New Roman" w:cs="Times New Roman" w:eastAsia="Times New Roman"/>
          <w:b/>
          <w:color w:val="C0C0C0"/>
          <w:spacing w:val="0"/>
          <w:position w:val="2"/>
          <w:sz w:val="24"/>
          <w:shd w:fill="auto" w:val="clear"/>
        </w:rPr>
        <w:t xml:space="preserve">кв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3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C0C0C0"/>
          <w:spacing w:val="-16"/>
          <w:position w:val="2"/>
          <w:sz w:val="24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3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C0C0C0"/>
          <w:spacing w:val="-16"/>
          <w:position w:val="2"/>
          <w:sz w:val="24"/>
          <w:shd w:fill="auto" w:val="clear"/>
        </w:rPr>
        <w:t xml:space="preserve">Разпола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4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b/>
          <w:color w:val="C0C0C0"/>
          <w:spacing w:val="-16"/>
          <w:position w:val="2"/>
          <w:sz w:val="24"/>
          <w:shd w:fill="auto" w:val="clear"/>
        </w:rPr>
        <w:t xml:space="preserve">а  </w:t>
      </w:r>
      <w:r>
        <w:rPr>
          <w:rFonts w:ascii="Times New Roman" w:hAnsi="Times New Roman" w:cs="Times New Roman" w:eastAsia="Times New Roman"/>
          <w:b/>
          <w:color w:val="C0C0C0"/>
          <w:spacing w:val="0"/>
          <w:position w:val="2"/>
          <w:sz w:val="24"/>
          <w:shd w:fill="auto" w:val="clear"/>
        </w:rPr>
        <w:t xml:space="preserve">с три зали и един кабинет</w:t>
      </w:r>
      <w:r>
        <w:rPr>
          <w:rFonts w:ascii="Verdana" w:hAnsi="Verdana" w:cs="Verdana" w:eastAsia="Verdana"/>
          <w:b/>
          <w:color w:val="auto"/>
          <w:spacing w:val="0"/>
          <w:position w:val="3"/>
          <w:sz w:val="20"/>
          <w:shd w:fill="auto" w:val="clear"/>
        </w:rPr>
        <w:t xml:space="preserve">.</w:t>
      </w:r>
    </w:p>
    <w:p>
      <w:pPr>
        <w:tabs>
          <w:tab w:val="left" w:pos="419" w:leader="none"/>
        </w:tabs>
        <w:spacing w:before="121" w:after="0" w:line="240"/>
        <w:ind w:right="0" w:left="322" w:firstLine="0"/>
        <w:jc w:val="left"/>
        <w:rPr>
          <w:rFonts w:ascii="Verdana" w:hAnsi="Verdana" w:cs="Verdana" w:eastAsia="Verdana"/>
          <w:color w:val="auto"/>
          <w:spacing w:val="0"/>
          <w:position w:val="1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6"/>
          <w:position w:val="1"/>
          <w:sz w:val="20"/>
          <w:shd w:fill="auto" w:val="clear"/>
        </w:rPr>
        <w:t xml:space="preserve">  7.</w:t>
      </w:r>
      <w:r>
        <w:rPr>
          <w:rFonts w:ascii="Times New Roman" w:hAnsi="Times New Roman" w:cs="Times New Roman" w:eastAsia="Times New Roman"/>
          <w:color w:val="auto"/>
          <w:spacing w:val="6"/>
          <w:position w:val="1"/>
          <w:sz w:val="20"/>
          <w:shd w:fill="auto" w:val="clear"/>
        </w:rPr>
        <w:t xml:space="preserve">ФИНАСИРАНЕ</w:t>
      </w:r>
      <w:r>
        <w:rPr>
          <w:rFonts w:ascii="Verdana" w:hAnsi="Verdana" w:cs="Verdana" w:eastAsia="Verdana"/>
          <w:color w:val="auto"/>
          <w:spacing w:val="6"/>
          <w:position w:val="1"/>
          <w:sz w:val="20"/>
          <w:shd w:fill="auto" w:val="clear"/>
        </w:rPr>
        <w:t xml:space="preserve">:</w:t>
      </w:r>
    </w:p>
    <w:p>
      <w:pPr>
        <w:tabs>
          <w:tab w:val="left" w:pos="424" w:leader="none"/>
        </w:tabs>
        <w:spacing w:before="208" w:after="0" w:line="240"/>
        <w:ind w:right="0" w:left="278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ЧИТАЛИЩЕТО СЕ ФИНАНСИРА ОТ ДЪРЖАВНА СУБСИДИЯ</w:t>
      </w:r>
    </w:p>
    <w:p>
      <w:pPr>
        <w:tabs>
          <w:tab w:val="left" w:pos="342" w:leader="none"/>
        </w:tabs>
        <w:spacing w:before="16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СРОК ЗА ИЗПЪЛНЕНИЕ НА ПРОГРАМАТА:</w:t>
      </w:r>
    </w:p>
    <w:p>
      <w:pPr>
        <w:tabs>
          <w:tab w:val="left" w:pos="342" w:leader="none"/>
        </w:tabs>
        <w:spacing w:before="165" w:after="0" w:line="240"/>
        <w:ind w:right="0" w:left="42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СРОКЪТ  ЗА ИЗПЪЛНЕНИЕ  НА  ПРОГРАМАТА  Е  В  РАМКИТЕ НА БЮДЖЕТНАТА  2021г.</w:t>
      </w:r>
    </w:p>
    <w:p>
      <w:pPr>
        <w:tabs>
          <w:tab w:val="left" w:pos="342" w:leader="none"/>
        </w:tabs>
        <w:spacing w:before="165" w:after="0" w:line="240"/>
        <w:ind w:right="0" w:left="42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42" w:leader="none"/>
        </w:tabs>
        <w:spacing w:before="165" w:after="0" w:line="240"/>
        <w:ind w:right="0" w:left="42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0" w:leader="none"/>
        </w:tabs>
        <w:spacing w:before="16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</w:t>
      </w:r>
    </w:p>
    <w:p>
      <w:pPr>
        <w:spacing w:before="221" w:after="0" w:line="240"/>
        <w:ind w:right="0" w:left="106" w:firstLine="0"/>
        <w:jc w:val="left"/>
        <w:rPr>
          <w:rFonts w:ascii="Times New Roman" w:hAnsi="Times New Roman" w:cs="Times New Roman" w:eastAsia="Times New Roman"/>
          <w:color w:val="C0C0C0"/>
          <w:spacing w:val="0"/>
          <w:position w:val="2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C0C0C0"/>
          <w:spacing w:val="0"/>
          <w:position w:val="2"/>
          <w:sz w:val="20"/>
          <w:shd w:fill="auto" w:val="clear"/>
        </w:rPr>
        <w:t xml:space="preserve">   </w:t>
      </w:r>
    </w:p>
    <w:p>
      <w:pPr>
        <w:spacing w:before="221" w:after="0" w:line="240"/>
        <w:ind w:right="0" w:left="106" w:firstLine="0"/>
        <w:jc w:val="left"/>
        <w:rPr>
          <w:rFonts w:ascii="Times New Roman" w:hAnsi="Times New Roman" w:cs="Times New Roman" w:eastAsia="Times New Roman"/>
          <w:color w:val="C0C0C0"/>
          <w:spacing w:val="0"/>
          <w:position w:val="2"/>
          <w:sz w:val="20"/>
          <w:shd w:fill="auto" w:val="clear"/>
        </w:rPr>
      </w:pPr>
    </w:p>
    <w:p>
      <w:pPr>
        <w:spacing w:before="221" w:after="0" w:line="240"/>
        <w:ind w:right="0" w:left="106" w:firstLine="0"/>
        <w:jc w:val="left"/>
        <w:rPr>
          <w:rFonts w:ascii="Times New Roman" w:hAnsi="Times New Roman" w:cs="Times New Roman" w:eastAsia="Times New Roman"/>
          <w:color w:val="C0C0C0"/>
          <w:spacing w:val="0"/>
          <w:position w:val="2"/>
          <w:sz w:val="20"/>
          <w:shd w:fill="auto" w:val="clear"/>
        </w:rPr>
      </w:pPr>
      <w:r>
        <w:object w:dxaOrig="5520" w:dyaOrig="810">
          <v:rect xmlns:o="urn:schemas-microsoft-com:office:office" xmlns:v="urn:schemas-microsoft-com:vml" id="rectole0000000000" style="width:276.000000pt;height:40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ckage" DrawAspect="Content" ObjectID="0000000000" ShapeID="rectole0000000000" r:id="docRId0"/>
        </w:object>
      </w:r>
    </w:p>
    <w:p>
      <w:pPr>
        <w:spacing w:before="221" w:after="0" w:line="240"/>
        <w:ind w:right="0" w:left="106" w:firstLine="0"/>
        <w:jc w:val="left"/>
        <w:rPr>
          <w:rFonts w:ascii="Times New Roman" w:hAnsi="Times New Roman" w:cs="Times New Roman" w:eastAsia="Times New Roman"/>
          <w:color w:val="C0C0C0"/>
          <w:spacing w:val="0"/>
          <w:position w:val="2"/>
          <w:sz w:val="20"/>
          <w:shd w:fill="auto" w:val="clear"/>
        </w:rPr>
      </w:pPr>
    </w:p>
    <w:p>
      <w:pPr>
        <w:spacing w:before="221" w:after="0" w:line="240"/>
        <w:ind w:right="0" w:left="106" w:firstLine="0"/>
        <w:jc w:val="left"/>
        <w:rPr>
          <w:rFonts w:ascii="Times New Roman" w:hAnsi="Times New Roman" w:cs="Times New Roman" w:eastAsia="Times New Roman"/>
          <w:color w:val="C0C0C0"/>
          <w:spacing w:val="0"/>
          <w:position w:val="2"/>
          <w:sz w:val="20"/>
          <w:shd w:fill="auto" w:val="clear"/>
        </w:rPr>
      </w:pPr>
    </w:p>
    <w:p>
      <w:pPr>
        <w:spacing w:before="221" w:after="0" w:line="24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2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C0C0C0"/>
          <w:spacing w:val="0"/>
          <w:position w:val="2"/>
          <w:sz w:val="20"/>
          <w:shd w:fill="auto" w:val="clear"/>
        </w:rPr>
        <w:t xml:space="preserve">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8">
    <w:abstractNumId w:val="42"/>
  </w:num>
  <w:num w:numId="10">
    <w:abstractNumId w:val="36"/>
  </w:num>
  <w:num w:numId="15">
    <w:abstractNumId w:val="30"/>
  </w:num>
  <w:num w:numId="20">
    <w:abstractNumId w:val="24"/>
  </w:num>
  <w:num w:numId="24">
    <w:abstractNumId w:val="18"/>
  </w:num>
  <w:num w:numId="30">
    <w:abstractNumId w:val="12"/>
  </w:num>
  <w:num w:numId="35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